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BB" w:rsidRPr="006F02E9" w:rsidRDefault="00F521BB">
      <w:pPr>
        <w:rPr>
          <w:rFonts w:ascii="Ink Free" w:hAnsi="Ink Free" w:cstheme="minorHAnsi"/>
          <w:b/>
          <w:color w:val="1F4E79" w:themeColor="accent1" w:themeShade="80"/>
          <w:sz w:val="52"/>
        </w:rPr>
      </w:pPr>
      <w:bookmarkStart w:id="0" w:name="_GoBack"/>
      <w:bookmarkEnd w:id="0"/>
      <w:r w:rsidRPr="006F02E9">
        <w:rPr>
          <w:rFonts w:ascii="Ink Free" w:hAnsi="Ink Free" w:cstheme="minorHAnsi"/>
          <w:b/>
          <w:color w:val="1F4E79" w:themeColor="accent1" w:themeShade="80"/>
          <w:sz w:val="44"/>
        </w:rPr>
        <w:t xml:space="preserve">Have you heard about the </w:t>
      </w:r>
      <w:r w:rsidR="0062112A" w:rsidRPr="006F02E9">
        <w:rPr>
          <w:rFonts w:ascii="Ink Free" w:hAnsi="Ink Free" w:cstheme="minorHAnsi"/>
          <w:b/>
          <w:color w:val="1F4E79" w:themeColor="accent1" w:themeShade="80"/>
          <w:sz w:val="44"/>
        </w:rPr>
        <w:t xml:space="preserve">CCL </w:t>
      </w:r>
      <w:r w:rsidR="0062112A" w:rsidRPr="006F02E9">
        <w:rPr>
          <w:rFonts w:ascii="Ink Free" w:hAnsi="Ink Free" w:cstheme="minorHAnsi"/>
          <w:b/>
          <w:color w:val="1F4E79" w:themeColor="accent1" w:themeShade="80"/>
          <w:sz w:val="52"/>
        </w:rPr>
        <w:t xml:space="preserve">Listening </w:t>
      </w:r>
      <w:r w:rsidRPr="006F02E9">
        <w:rPr>
          <w:rFonts w:ascii="Ink Free" w:hAnsi="Ink Free" w:cstheme="minorHAnsi"/>
          <w:b/>
          <w:color w:val="1F4E79" w:themeColor="accent1" w:themeShade="80"/>
          <w:sz w:val="52"/>
        </w:rPr>
        <w:t>Service??</w:t>
      </w:r>
    </w:p>
    <w:p w:rsidR="00F521BB" w:rsidRPr="006F02E9" w:rsidRDefault="00F521BB">
      <w:p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32"/>
        </w:rPr>
        <w:t>No,</w:t>
      </w:r>
      <w:r w:rsidRPr="006F02E9">
        <w:rPr>
          <w:rFonts w:cstheme="minorHAnsi"/>
          <w:color w:val="1F4E79" w:themeColor="accent1" w:themeShade="80"/>
          <w:sz w:val="24"/>
        </w:rPr>
        <w:t xml:space="preserve"> well let me tell you a little more about it… </w:t>
      </w:r>
    </w:p>
    <w:p w:rsidR="00F521BB" w:rsidRPr="006F02E9" w:rsidRDefault="00033C15">
      <w:p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 xml:space="preserve">We </w:t>
      </w:r>
      <w:r w:rsidR="005738D7" w:rsidRPr="006F02E9">
        <w:rPr>
          <w:rFonts w:cstheme="minorHAnsi"/>
          <w:color w:val="1F4E79" w:themeColor="accent1" w:themeShade="80"/>
          <w:sz w:val="24"/>
        </w:rPr>
        <w:t xml:space="preserve">can all feel low, sad or be </w:t>
      </w:r>
      <w:r w:rsidRPr="006F02E9">
        <w:rPr>
          <w:rFonts w:cstheme="minorHAnsi"/>
          <w:color w:val="1F4E79" w:themeColor="accent1" w:themeShade="80"/>
          <w:sz w:val="24"/>
        </w:rPr>
        <w:t>fac</w:t>
      </w:r>
      <w:r w:rsidR="005738D7" w:rsidRPr="006F02E9">
        <w:rPr>
          <w:rFonts w:cstheme="minorHAnsi"/>
          <w:color w:val="1F4E79" w:themeColor="accent1" w:themeShade="80"/>
          <w:sz w:val="24"/>
        </w:rPr>
        <w:t>ed with</w:t>
      </w:r>
      <w:r w:rsidRPr="006F02E9">
        <w:rPr>
          <w:rFonts w:cstheme="minorHAnsi"/>
          <w:color w:val="1F4E79" w:themeColor="accent1" w:themeShade="80"/>
          <w:sz w:val="24"/>
        </w:rPr>
        <w:t xml:space="preserve"> chal</w:t>
      </w:r>
      <w:r w:rsidR="005738D7" w:rsidRPr="006F02E9">
        <w:rPr>
          <w:rFonts w:cstheme="minorHAnsi"/>
          <w:color w:val="1F4E79" w:themeColor="accent1" w:themeShade="80"/>
          <w:sz w:val="24"/>
        </w:rPr>
        <w:t>lenges at some point in our lives including</w:t>
      </w:r>
      <w:r w:rsidR="00F521BB" w:rsidRPr="006F02E9">
        <w:rPr>
          <w:rFonts w:cstheme="minorHAnsi"/>
          <w:color w:val="1F4E79" w:themeColor="accent1" w:themeShade="80"/>
          <w:sz w:val="24"/>
        </w:rPr>
        <w:t>:-</w:t>
      </w:r>
    </w:p>
    <w:p w:rsidR="00F521BB" w:rsidRPr="006F02E9" w:rsidRDefault="00033C15" w:rsidP="00F521BB">
      <w:pPr>
        <w:pStyle w:val="ListParagraph"/>
        <w:numPr>
          <w:ilvl w:val="0"/>
          <w:numId w:val="1"/>
        </w:num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ill-health</w:t>
      </w:r>
    </w:p>
    <w:p w:rsidR="00F521BB" w:rsidRPr="006F02E9" w:rsidRDefault="00033C15" w:rsidP="00F521BB">
      <w:pPr>
        <w:pStyle w:val="ListParagraph"/>
        <w:numPr>
          <w:ilvl w:val="0"/>
          <w:numId w:val="1"/>
        </w:num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bereavement</w:t>
      </w:r>
    </w:p>
    <w:p w:rsidR="00F521BB" w:rsidRPr="006F02E9" w:rsidRDefault="00F521BB" w:rsidP="00F521BB">
      <w:pPr>
        <w:pStyle w:val="ListParagraph"/>
        <w:numPr>
          <w:ilvl w:val="0"/>
          <w:numId w:val="1"/>
        </w:num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relationship</w:t>
      </w:r>
      <w:r w:rsidR="00033C15" w:rsidRPr="006F02E9">
        <w:rPr>
          <w:rFonts w:cstheme="minorHAnsi"/>
          <w:color w:val="1F4E79" w:themeColor="accent1" w:themeShade="80"/>
          <w:sz w:val="24"/>
        </w:rPr>
        <w:t xml:space="preserve"> breakdowns</w:t>
      </w:r>
    </w:p>
    <w:p w:rsidR="00F521BB" w:rsidRPr="006F02E9" w:rsidRDefault="00033C15" w:rsidP="00F521BB">
      <w:pPr>
        <w:pStyle w:val="ListParagraph"/>
        <w:numPr>
          <w:ilvl w:val="0"/>
          <w:numId w:val="1"/>
        </w:num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unemployment</w:t>
      </w:r>
      <w:r w:rsidR="00F521BB" w:rsidRPr="006F02E9">
        <w:rPr>
          <w:rFonts w:cstheme="minorHAnsi"/>
          <w:color w:val="1F4E79" w:themeColor="accent1" w:themeShade="80"/>
          <w:sz w:val="24"/>
        </w:rPr>
        <w:t xml:space="preserve"> </w:t>
      </w:r>
    </w:p>
    <w:p w:rsidR="00F521BB" w:rsidRPr="006F02E9" w:rsidRDefault="00F521BB" w:rsidP="00F521BB">
      <w:pPr>
        <w:pStyle w:val="ListParagraph"/>
        <w:numPr>
          <w:ilvl w:val="0"/>
          <w:numId w:val="1"/>
        </w:num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changes to life circumstances that just feel out of our control</w:t>
      </w:r>
    </w:p>
    <w:p w:rsidR="00F521BB" w:rsidRPr="006F02E9" w:rsidRDefault="00F521BB">
      <w:pPr>
        <w:rPr>
          <w:rFonts w:cstheme="minorHAnsi"/>
          <w:color w:val="1F4E79" w:themeColor="accent1" w:themeShade="80"/>
          <w:sz w:val="24"/>
        </w:rPr>
      </w:pPr>
    </w:p>
    <w:p w:rsidR="00F521BB" w:rsidRPr="006F02E9" w:rsidRDefault="00F521BB">
      <w:p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But s</w:t>
      </w:r>
      <w:r w:rsidR="00033C15" w:rsidRPr="006F02E9">
        <w:rPr>
          <w:rFonts w:cstheme="minorHAnsi"/>
          <w:color w:val="1F4E79" w:themeColor="accent1" w:themeShade="80"/>
          <w:sz w:val="24"/>
        </w:rPr>
        <w:t>o o</w:t>
      </w:r>
      <w:r w:rsidRPr="006F02E9">
        <w:rPr>
          <w:rFonts w:cstheme="minorHAnsi"/>
          <w:color w:val="1F4E79" w:themeColor="accent1" w:themeShade="80"/>
          <w:sz w:val="24"/>
        </w:rPr>
        <w:t>ft</w:t>
      </w:r>
      <w:r w:rsidR="00033C15" w:rsidRPr="006F02E9">
        <w:rPr>
          <w:rFonts w:cstheme="minorHAnsi"/>
          <w:color w:val="1F4E79" w:themeColor="accent1" w:themeShade="80"/>
          <w:sz w:val="24"/>
        </w:rPr>
        <w:t>en people do not want to burden their family and friends,</w:t>
      </w:r>
      <w:r w:rsidRPr="006F02E9">
        <w:rPr>
          <w:rFonts w:cstheme="minorHAnsi"/>
          <w:color w:val="1F4E79" w:themeColor="accent1" w:themeShade="80"/>
          <w:sz w:val="24"/>
        </w:rPr>
        <w:t xml:space="preserve"> and yet don’t know where to turn, but t</w:t>
      </w:r>
      <w:r w:rsidR="00033C15" w:rsidRPr="006F02E9">
        <w:rPr>
          <w:rFonts w:cstheme="minorHAnsi"/>
          <w:color w:val="1F4E79" w:themeColor="accent1" w:themeShade="80"/>
          <w:sz w:val="24"/>
        </w:rPr>
        <w:t xml:space="preserve">alking to someone out with </w:t>
      </w:r>
      <w:r w:rsidRPr="006F02E9">
        <w:rPr>
          <w:rFonts w:cstheme="minorHAnsi"/>
          <w:color w:val="1F4E79" w:themeColor="accent1" w:themeShade="80"/>
          <w:sz w:val="24"/>
        </w:rPr>
        <w:t>our personal</w:t>
      </w:r>
      <w:r w:rsidR="00033C15" w:rsidRPr="006F02E9">
        <w:rPr>
          <w:rFonts w:cstheme="minorHAnsi"/>
          <w:color w:val="1F4E79" w:themeColor="accent1" w:themeShade="80"/>
          <w:sz w:val="24"/>
        </w:rPr>
        <w:t xml:space="preserve"> circle can</w:t>
      </w:r>
      <w:r w:rsidRPr="006F02E9">
        <w:rPr>
          <w:rFonts w:cstheme="minorHAnsi"/>
          <w:color w:val="1F4E79" w:themeColor="accent1" w:themeShade="80"/>
          <w:sz w:val="24"/>
        </w:rPr>
        <w:t xml:space="preserve"> sometimes be just what is needed and </w:t>
      </w:r>
      <w:r w:rsidRPr="006F02E9">
        <w:rPr>
          <w:rFonts w:cstheme="minorHAnsi"/>
          <w:b/>
          <w:color w:val="1F4E79" w:themeColor="accent1" w:themeShade="80"/>
          <w:sz w:val="28"/>
        </w:rPr>
        <w:t xml:space="preserve">the </w:t>
      </w:r>
      <w:r w:rsidRPr="006F02E9">
        <w:rPr>
          <w:rFonts w:cstheme="minorHAnsi"/>
          <w:b/>
          <w:color w:val="1F4E79" w:themeColor="accent1" w:themeShade="80"/>
          <w:sz w:val="32"/>
        </w:rPr>
        <w:t xml:space="preserve">Listening service </w:t>
      </w:r>
      <w:r w:rsidRPr="006F02E9">
        <w:rPr>
          <w:rFonts w:cstheme="minorHAnsi"/>
          <w:b/>
          <w:color w:val="1F4E79" w:themeColor="accent1" w:themeShade="80"/>
          <w:sz w:val="24"/>
        </w:rPr>
        <w:t>c</w:t>
      </w:r>
      <w:r w:rsidRPr="006F02E9">
        <w:rPr>
          <w:rFonts w:cstheme="minorHAnsi"/>
          <w:color w:val="1F4E79" w:themeColor="accent1" w:themeShade="80"/>
          <w:sz w:val="24"/>
        </w:rPr>
        <w:t>an offer that for you.</w:t>
      </w:r>
    </w:p>
    <w:p w:rsidR="00F521BB" w:rsidRPr="006F02E9" w:rsidRDefault="00F521BB">
      <w:p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 xml:space="preserve">The </w:t>
      </w:r>
      <w:r w:rsidRPr="006F02E9">
        <w:rPr>
          <w:rFonts w:cstheme="minorHAnsi"/>
          <w:b/>
          <w:color w:val="1F4E79" w:themeColor="accent1" w:themeShade="80"/>
          <w:sz w:val="32"/>
        </w:rPr>
        <w:t>Listening service</w:t>
      </w:r>
      <w:r w:rsidRPr="006F02E9">
        <w:rPr>
          <w:rFonts w:cstheme="minorHAnsi"/>
          <w:color w:val="1F4E79" w:themeColor="accent1" w:themeShade="80"/>
          <w:sz w:val="32"/>
        </w:rPr>
        <w:t xml:space="preserve"> </w:t>
      </w:r>
      <w:r w:rsidRPr="006F02E9">
        <w:rPr>
          <w:rFonts w:cstheme="minorHAnsi"/>
          <w:color w:val="1F4E79" w:themeColor="accent1" w:themeShade="80"/>
          <w:sz w:val="24"/>
        </w:rPr>
        <w:t>provides a safe, confidential space</w:t>
      </w:r>
      <w:r w:rsidR="00CA4B5B" w:rsidRPr="006F02E9">
        <w:rPr>
          <w:rFonts w:cstheme="minorHAnsi"/>
          <w:color w:val="1F4E79" w:themeColor="accent1" w:themeShade="80"/>
          <w:sz w:val="24"/>
        </w:rPr>
        <w:t>,</w:t>
      </w:r>
      <w:r w:rsidRPr="006F02E9">
        <w:rPr>
          <w:rFonts w:cstheme="minorHAnsi"/>
          <w:color w:val="1F4E79" w:themeColor="accent1" w:themeShade="80"/>
          <w:sz w:val="24"/>
        </w:rPr>
        <w:t xml:space="preserve"> </w:t>
      </w:r>
      <w:r w:rsidR="00CA4B5B" w:rsidRPr="006F02E9">
        <w:rPr>
          <w:rFonts w:cstheme="minorHAnsi"/>
          <w:color w:val="1F4E79" w:themeColor="accent1" w:themeShade="80"/>
          <w:sz w:val="24"/>
        </w:rPr>
        <w:t xml:space="preserve">free from judgement by our trained CCL listeners, </w:t>
      </w:r>
      <w:r w:rsidRPr="006F02E9">
        <w:rPr>
          <w:rFonts w:cstheme="minorHAnsi"/>
          <w:color w:val="1F4E79" w:themeColor="accent1" w:themeShade="80"/>
          <w:sz w:val="24"/>
        </w:rPr>
        <w:t xml:space="preserve">for you </w:t>
      </w:r>
      <w:r w:rsidR="00ED750F" w:rsidRPr="006F02E9">
        <w:rPr>
          <w:rFonts w:cstheme="minorHAnsi"/>
          <w:color w:val="1F4E79" w:themeColor="accent1" w:themeShade="80"/>
          <w:sz w:val="24"/>
        </w:rPr>
        <w:t>to speak about</w:t>
      </w:r>
      <w:r w:rsidRPr="006F02E9">
        <w:rPr>
          <w:rFonts w:cstheme="minorHAnsi"/>
          <w:color w:val="1F4E79" w:themeColor="accent1" w:themeShade="80"/>
          <w:sz w:val="24"/>
        </w:rPr>
        <w:t xml:space="preserve"> whatever is </w:t>
      </w:r>
      <w:r w:rsidR="00ED750F" w:rsidRPr="006F02E9">
        <w:rPr>
          <w:rFonts w:cstheme="minorHAnsi"/>
          <w:color w:val="1F4E79" w:themeColor="accent1" w:themeShade="80"/>
          <w:sz w:val="24"/>
        </w:rPr>
        <w:t xml:space="preserve">causing you anxiety, or just making you feel low, </w:t>
      </w:r>
      <w:r w:rsidR="00CA4B5B" w:rsidRPr="006F02E9">
        <w:rPr>
          <w:rFonts w:cstheme="minorHAnsi"/>
          <w:color w:val="1F4E79" w:themeColor="accent1" w:themeShade="80"/>
          <w:sz w:val="24"/>
        </w:rPr>
        <w:t xml:space="preserve">and generally </w:t>
      </w:r>
      <w:r w:rsidRPr="006F02E9">
        <w:rPr>
          <w:rFonts w:cstheme="minorHAnsi"/>
          <w:color w:val="1F4E79" w:themeColor="accent1" w:themeShade="80"/>
          <w:sz w:val="24"/>
        </w:rPr>
        <w:t xml:space="preserve">getting in your way of </w:t>
      </w:r>
      <w:r w:rsidR="00ED750F" w:rsidRPr="006F02E9">
        <w:rPr>
          <w:rFonts w:cstheme="minorHAnsi"/>
          <w:color w:val="1F4E79" w:themeColor="accent1" w:themeShade="80"/>
          <w:sz w:val="24"/>
        </w:rPr>
        <w:t xml:space="preserve">both your health and wellbeing. </w:t>
      </w:r>
      <w:r w:rsidRPr="006F02E9">
        <w:rPr>
          <w:rFonts w:cstheme="minorHAnsi"/>
          <w:color w:val="1F4E79" w:themeColor="accent1" w:themeShade="80"/>
          <w:sz w:val="24"/>
        </w:rPr>
        <w:t xml:space="preserve">  </w:t>
      </w:r>
    </w:p>
    <w:p w:rsidR="00F521BB" w:rsidRPr="006F02E9" w:rsidRDefault="00F521BB">
      <w:p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>Unlike counselling or other forms of psychological intervention, CCL Listeners are not there to fix the problem, they are there to listen to your story,</w:t>
      </w:r>
      <w:r w:rsidR="00CA4B5B" w:rsidRPr="006F02E9">
        <w:rPr>
          <w:rFonts w:cstheme="minorHAnsi"/>
          <w:color w:val="1F4E79" w:themeColor="accent1" w:themeShade="80"/>
          <w:sz w:val="24"/>
        </w:rPr>
        <w:t xml:space="preserve"> told </w:t>
      </w:r>
      <w:r w:rsidRPr="006F02E9">
        <w:rPr>
          <w:rFonts w:cstheme="minorHAnsi"/>
          <w:color w:val="1F4E79" w:themeColor="accent1" w:themeShade="80"/>
          <w:sz w:val="24"/>
        </w:rPr>
        <w:t xml:space="preserve">in your own words, to allow you the space to be seen, heard and process what is going on for you. </w:t>
      </w:r>
    </w:p>
    <w:p w:rsidR="00ED750F" w:rsidRPr="006F02E9" w:rsidRDefault="00F521BB">
      <w:pPr>
        <w:rPr>
          <w:rFonts w:cstheme="minorHAnsi"/>
          <w:color w:val="1F4E79" w:themeColor="accent1" w:themeShade="80"/>
          <w:sz w:val="28"/>
          <w:u w:val="single"/>
        </w:rPr>
      </w:pPr>
      <w:r w:rsidRPr="006F02E9">
        <w:rPr>
          <w:rFonts w:cstheme="minorHAnsi"/>
          <w:color w:val="1F4E79" w:themeColor="accent1" w:themeShade="80"/>
          <w:sz w:val="24"/>
        </w:rPr>
        <w:t xml:space="preserve">The </w:t>
      </w:r>
      <w:r w:rsidRPr="006F02E9">
        <w:rPr>
          <w:rFonts w:cstheme="minorHAnsi"/>
          <w:b/>
          <w:color w:val="1F4E79" w:themeColor="accent1" w:themeShade="80"/>
          <w:sz w:val="32"/>
        </w:rPr>
        <w:t>Listening service</w:t>
      </w:r>
      <w:r w:rsidRPr="006F02E9">
        <w:rPr>
          <w:rFonts w:cstheme="minorHAnsi"/>
          <w:color w:val="1F4E79" w:themeColor="accent1" w:themeShade="80"/>
          <w:sz w:val="32"/>
        </w:rPr>
        <w:t xml:space="preserve"> </w:t>
      </w:r>
      <w:r w:rsidRPr="006F02E9">
        <w:rPr>
          <w:rFonts w:cstheme="minorHAnsi"/>
          <w:color w:val="1F4E79" w:themeColor="accent1" w:themeShade="80"/>
          <w:sz w:val="24"/>
        </w:rPr>
        <w:t>is available at several GP practices around Aberdeen City</w:t>
      </w:r>
      <w:r w:rsidR="007E71AE" w:rsidRPr="006F02E9">
        <w:rPr>
          <w:rFonts w:cstheme="minorHAnsi"/>
          <w:color w:val="1F4E79" w:themeColor="accent1" w:themeShade="80"/>
          <w:sz w:val="24"/>
        </w:rPr>
        <w:t xml:space="preserve">.  There is </w:t>
      </w:r>
      <w:r w:rsidR="007E71AE" w:rsidRPr="006F02E9">
        <w:rPr>
          <w:rFonts w:cstheme="minorHAnsi"/>
          <w:color w:val="1F4E79" w:themeColor="accent1" w:themeShade="80"/>
          <w:sz w:val="28"/>
          <w:u w:val="single"/>
        </w:rPr>
        <w:t>no referral form required</w:t>
      </w:r>
      <w:r w:rsidR="007E71AE" w:rsidRPr="006F02E9">
        <w:rPr>
          <w:rFonts w:cstheme="minorHAnsi"/>
          <w:color w:val="1F4E79" w:themeColor="accent1" w:themeShade="80"/>
          <w:sz w:val="24"/>
        </w:rPr>
        <w:t xml:space="preserve">, </w:t>
      </w:r>
      <w:r w:rsidRPr="006F02E9">
        <w:rPr>
          <w:rFonts w:cstheme="minorHAnsi"/>
          <w:color w:val="1F4E79" w:themeColor="accent1" w:themeShade="80"/>
          <w:sz w:val="24"/>
        </w:rPr>
        <w:t xml:space="preserve">so </w:t>
      </w:r>
      <w:r w:rsidR="007E71AE" w:rsidRPr="006F02E9">
        <w:rPr>
          <w:rFonts w:cstheme="minorHAnsi"/>
          <w:color w:val="1F4E79" w:themeColor="accent1" w:themeShade="80"/>
          <w:sz w:val="24"/>
        </w:rPr>
        <w:t xml:space="preserve">to make an appointment </w:t>
      </w:r>
      <w:r w:rsidRPr="006F02E9">
        <w:rPr>
          <w:rFonts w:cstheme="minorHAnsi"/>
          <w:color w:val="1F4E79" w:themeColor="accent1" w:themeShade="80"/>
          <w:sz w:val="28"/>
          <w:u w:val="single"/>
        </w:rPr>
        <w:t xml:space="preserve">please ask your GP receptionist if you have a listener </w:t>
      </w:r>
      <w:r w:rsidR="00CA4B5B" w:rsidRPr="006F02E9">
        <w:rPr>
          <w:rFonts w:cstheme="minorHAnsi"/>
          <w:color w:val="1F4E79" w:themeColor="accent1" w:themeShade="80"/>
          <w:sz w:val="28"/>
          <w:u w:val="single"/>
        </w:rPr>
        <w:t>in your practice</w:t>
      </w:r>
      <w:r w:rsidRPr="006F02E9">
        <w:rPr>
          <w:rFonts w:cstheme="minorHAnsi"/>
          <w:color w:val="1F4E79" w:themeColor="accent1" w:themeShade="80"/>
          <w:sz w:val="28"/>
          <w:u w:val="single"/>
        </w:rPr>
        <w:t xml:space="preserve">.  </w:t>
      </w:r>
    </w:p>
    <w:p w:rsidR="007E71AE" w:rsidRPr="006F02E9" w:rsidRDefault="00F521BB">
      <w:pPr>
        <w:rPr>
          <w:rFonts w:cstheme="minorHAnsi"/>
          <w:color w:val="1F4E79" w:themeColor="accent1" w:themeShade="80"/>
          <w:sz w:val="24"/>
        </w:rPr>
      </w:pPr>
      <w:r w:rsidRPr="006F02E9">
        <w:rPr>
          <w:rFonts w:cstheme="minorHAnsi"/>
          <w:color w:val="1F4E79" w:themeColor="accent1" w:themeShade="80"/>
          <w:sz w:val="24"/>
        </w:rPr>
        <w:t xml:space="preserve">Alternatively </w:t>
      </w:r>
      <w:r w:rsidRPr="006F02E9">
        <w:rPr>
          <w:rFonts w:cstheme="minorHAnsi"/>
          <w:color w:val="1F4E79" w:themeColor="accent1" w:themeShade="80"/>
          <w:sz w:val="28"/>
          <w:u w:val="single"/>
        </w:rPr>
        <w:t xml:space="preserve">you can </w:t>
      </w:r>
      <w:r w:rsidR="007E71AE" w:rsidRPr="006F02E9">
        <w:rPr>
          <w:rFonts w:cstheme="minorHAnsi"/>
          <w:color w:val="1F4E79" w:themeColor="accent1" w:themeShade="80"/>
          <w:sz w:val="28"/>
          <w:u w:val="single"/>
        </w:rPr>
        <w:t xml:space="preserve">also </w:t>
      </w:r>
      <w:r w:rsidRPr="006F02E9">
        <w:rPr>
          <w:rFonts w:cstheme="minorHAnsi"/>
          <w:color w:val="1F4E79" w:themeColor="accent1" w:themeShade="80"/>
          <w:sz w:val="28"/>
          <w:u w:val="single"/>
        </w:rPr>
        <w:t xml:space="preserve">make an appointment </w:t>
      </w:r>
      <w:r w:rsidRPr="006F02E9">
        <w:rPr>
          <w:rFonts w:cstheme="minorHAnsi"/>
          <w:color w:val="1F4E79" w:themeColor="accent1" w:themeShade="80"/>
          <w:sz w:val="24"/>
        </w:rPr>
        <w:t xml:space="preserve">with </w:t>
      </w:r>
      <w:r w:rsidR="007E71AE" w:rsidRPr="006F02E9">
        <w:rPr>
          <w:rFonts w:cstheme="minorHAnsi"/>
          <w:color w:val="1F4E79" w:themeColor="accent1" w:themeShade="80"/>
          <w:sz w:val="24"/>
        </w:rPr>
        <w:t xml:space="preserve">one of our trained listeners at: </w:t>
      </w:r>
    </w:p>
    <w:p w:rsidR="00F521BB" w:rsidRPr="006F02E9" w:rsidRDefault="00F521BB">
      <w:pPr>
        <w:rPr>
          <w:rFonts w:cstheme="minorHAnsi"/>
          <w:b/>
          <w:color w:val="1F4E79" w:themeColor="accent1" w:themeShade="80"/>
          <w:sz w:val="28"/>
        </w:rPr>
      </w:pPr>
      <w:r w:rsidRPr="006F02E9">
        <w:rPr>
          <w:rFonts w:cstheme="minorHAnsi"/>
          <w:b/>
          <w:color w:val="1F4E79" w:themeColor="accent1" w:themeShade="80"/>
          <w:sz w:val="28"/>
        </w:rPr>
        <w:t xml:space="preserve">Aberdeen Health Village by calling 01224 65 55 55. </w:t>
      </w:r>
    </w:p>
    <w:p w:rsidR="00ED750F" w:rsidRDefault="00ED750F">
      <w:pPr>
        <w:rPr>
          <w:rFonts w:cstheme="minorHAnsi"/>
          <w:b/>
          <w:color w:val="1F4E79" w:themeColor="accent1" w:themeShade="80"/>
          <w:sz w:val="28"/>
        </w:rPr>
      </w:pPr>
    </w:p>
    <w:p w:rsidR="006F02E9" w:rsidRPr="006F02E9" w:rsidRDefault="006F02E9">
      <w:pPr>
        <w:rPr>
          <w:rFonts w:cstheme="minorHAnsi"/>
          <w:b/>
          <w:color w:val="1F4E79" w:themeColor="accent1" w:themeShade="80"/>
          <w:sz w:val="28"/>
        </w:rPr>
        <w:sectPr w:rsidR="006F02E9" w:rsidRPr="006F02E9" w:rsidSect="00ED750F">
          <w:footerReference w:type="default" r:id="rId7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D750F" w:rsidRDefault="00ED750F">
      <w:pPr>
        <w:rPr>
          <w:rFonts w:cstheme="minorHAnsi"/>
        </w:rPr>
      </w:pPr>
    </w:p>
    <w:p w:rsidR="00ED750F" w:rsidRPr="00ED750F" w:rsidRDefault="00ED750F">
      <w:pPr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4FB403CB" wp14:editId="4802674D">
            <wp:extent cx="5731510" cy="375285"/>
            <wp:effectExtent l="0" t="0" r="2540" b="5715"/>
            <wp:docPr id="2051" name="Picture 8" descr="ccl strapline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8" descr="ccl strapline PP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50F" w:rsidRPr="00ED750F" w:rsidSect="00ED750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0F" w:rsidRDefault="00ED750F" w:rsidP="00ED750F">
      <w:pPr>
        <w:spacing w:after="0" w:line="240" w:lineRule="auto"/>
      </w:pPr>
      <w:r>
        <w:separator/>
      </w:r>
    </w:p>
  </w:endnote>
  <w:endnote w:type="continuationSeparator" w:id="0">
    <w:p w:rsidR="00ED750F" w:rsidRDefault="00ED750F" w:rsidP="00ED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0F" w:rsidRDefault="00ED750F">
    <w:pPr>
      <w:pStyle w:val="Footer"/>
    </w:pPr>
  </w:p>
  <w:p w:rsidR="00ED750F" w:rsidRDefault="00BE47BF">
    <w:pPr>
      <w:pStyle w:val="Footer"/>
    </w:pPr>
    <w:r w:rsidRPr="00726D36">
      <w:rPr>
        <w:noProof/>
        <w:lang w:eastAsia="en-GB"/>
      </w:rPr>
      <w:drawing>
        <wp:inline distT="0" distB="0" distL="0" distR="0" wp14:anchorId="400F19F4" wp14:editId="1E638D32">
          <wp:extent cx="2406650" cy="627230"/>
          <wp:effectExtent l="0" t="0" r="0" b="1905"/>
          <wp:docPr id="1" name="Picture 1" descr="V:\Corporate Services\Corporate Communications\Chaplaincy\Guht_Interface Data\CCL - Health Village and GP Practices\CCL LOGOS AND BANNERS\CommChaplainc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rporate Services\Corporate Communications\Chaplaincy\Guht_Interface Data\CCL - Health Village and GP Practices\CCL LOGOS AND BANNERS\CommChaplaincy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853" cy="71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50F">
      <w:tab/>
    </w:r>
    <w:r w:rsidR="00ED750F">
      <w:tab/>
      <w:t xml:space="preserve">    </w:t>
    </w:r>
    <w:r w:rsidR="00ED750F">
      <w:rPr>
        <w:rFonts w:ascii="Arial" w:hAnsi="Arial" w:cs="Arial"/>
        <w:noProof/>
        <w:color w:val="1A0DAB"/>
        <w:sz w:val="20"/>
        <w:szCs w:val="20"/>
        <w:lang w:eastAsia="en-GB"/>
      </w:rPr>
      <w:drawing>
        <wp:inline distT="0" distB="0" distL="0" distR="0" wp14:anchorId="1C635D93" wp14:editId="2B09A286">
          <wp:extent cx="800735" cy="639513"/>
          <wp:effectExtent l="0" t="0" r="0" b="8255"/>
          <wp:docPr id="2" name="Picture 2" descr="Image result for nhs grampian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nhs grampian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48" cy="652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0F" w:rsidRDefault="00ED750F" w:rsidP="00ED750F">
      <w:pPr>
        <w:spacing w:after="0" w:line="240" w:lineRule="auto"/>
      </w:pPr>
      <w:r>
        <w:separator/>
      </w:r>
    </w:p>
  </w:footnote>
  <w:footnote w:type="continuationSeparator" w:id="0">
    <w:p w:rsidR="00ED750F" w:rsidRDefault="00ED750F" w:rsidP="00ED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CEE"/>
    <w:multiLevelType w:val="hybridMultilevel"/>
    <w:tmpl w:val="572000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5"/>
    <w:rsid w:val="00033C15"/>
    <w:rsid w:val="000540A0"/>
    <w:rsid w:val="00226D01"/>
    <w:rsid w:val="003B1B86"/>
    <w:rsid w:val="005738D7"/>
    <w:rsid w:val="0062112A"/>
    <w:rsid w:val="006F02E9"/>
    <w:rsid w:val="007E71AE"/>
    <w:rsid w:val="00B24FBF"/>
    <w:rsid w:val="00B44B5E"/>
    <w:rsid w:val="00BE47BF"/>
    <w:rsid w:val="00CA4B5B"/>
    <w:rsid w:val="00E15746"/>
    <w:rsid w:val="00ED750F"/>
    <w:rsid w:val="00F340D0"/>
    <w:rsid w:val="00F5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E812166-ED01-4AF4-86CF-49DB7A72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50F"/>
  </w:style>
  <w:style w:type="paragraph" w:styleId="Footer">
    <w:name w:val="footer"/>
    <w:basedOn w:val="Normal"/>
    <w:link w:val="FooterChar"/>
    <w:uiPriority w:val="99"/>
    <w:unhideWhenUsed/>
    <w:rsid w:val="00ED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50F"/>
  </w:style>
  <w:style w:type="paragraph" w:styleId="BalloonText">
    <w:name w:val="Balloon Text"/>
    <w:basedOn w:val="Normal"/>
    <w:link w:val="BalloonTextChar"/>
    <w:uiPriority w:val="99"/>
    <w:semiHidden/>
    <w:unhideWhenUsed/>
    <w:rsid w:val="00B4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/url?url=http://www.scot.nhs.uk/gr_2col-2/&amp;rct=j&amp;frm=1&amp;q=&amp;esrc=s&amp;sa=U&amp;ved=0ahUKEwjK3rfqwefTAhUCIcAKHXwVAYMQwW4IFjAA&amp;usg=AFQjCNGuePi8fxZffPWGi9s_rB_4-MWVp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Walls (NHS Grampian)</dc:creator>
  <cp:keywords/>
  <dc:description/>
  <cp:lastModifiedBy>Loraine Horsburgh (NHS Grampian)</cp:lastModifiedBy>
  <cp:revision>2</cp:revision>
  <cp:lastPrinted>2022-07-12T12:32:00Z</cp:lastPrinted>
  <dcterms:created xsi:type="dcterms:W3CDTF">2022-10-05T08:55:00Z</dcterms:created>
  <dcterms:modified xsi:type="dcterms:W3CDTF">2022-10-05T08:55:00Z</dcterms:modified>
</cp:coreProperties>
</file>